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761" w:rsidRPr="00900450" w:rsidRDefault="00900450" w:rsidP="00900450">
      <w:pPr>
        <w:jc w:val="center"/>
        <w:rPr>
          <w:rFonts w:ascii="Times New Roman" w:hAnsi="Times New Roman" w:cs="Times New Roman"/>
          <w:b/>
          <w:sz w:val="40"/>
          <w:szCs w:val="40"/>
          <w:lang w:val="ro-MD"/>
        </w:rPr>
      </w:pPr>
      <w:r w:rsidRPr="00900450">
        <w:rPr>
          <w:rFonts w:ascii="Times New Roman" w:hAnsi="Times New Roman" w:cs="Times New Roman"/>
          <w:b/>
          <w:sz w:val="40"/>
          <w:szCs w:val="40"/>
          <w:lang w:val="ro-MD"/>
        </w:rPr>
        <w:t>Anunț</w:t>
      </w:r>
    </w:p>
    <w:p w:rsidR="00900450" w:rsidRPr="00CE2ACD" w:rsidRDefault="00900450" w:rsidP="00900450">
      <w:pPr>
        <w:shd w:val="clear" w:color="auto" w:fill="FFFFFF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r w:rsidRPr="00CE2ACD">
        <w:rPr>
          <w:rFonts w:ascii="Times New Roman" w:hAnsi="Times New Roman" w:cs="Times New Roman"/>
          <w:b/>
          <w:sz w:val="32"/>
          <w:szCs w:val="32"/>
          <w:lang w:val="ro-MD"/>
        </w:rPr>
        <w:t>Primăria comunei Miclești ,raionul Criuleni</w:t>
      </w:r>
      <w:r w:rsidRPr="00CE2ACD">
        <w:rPr>
          <w:rFonts w:ascii="Times New Roman" w:hAnsi="Times New Roman" w:cs="Times New Roman"/>
          <w:sz w:val="32"/>
          <w:szCs w:val="32"/>
          <w:lang w:val="ro-MD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anunță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despre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confirmarea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prezenței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virusului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Pestei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porcine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africane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(PPA)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în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probele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recoltate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la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porcii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domestici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 </w:t>
      </w:r>
      <w:proofErr w:type="spellStart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îm</w:t>
      </w:r>
      <w:proofErr w:type="spellEnd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2 </w:t>
      </w:r>
      <w:proofErr w:type="spellStart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gospodării</w:t>
      </w:r>
      <w:proofErr w:type="spellEnd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nonprofesionale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din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localitatea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 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Cimișeni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, r-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ul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Criuleni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.</w:t>
      </w:r>
    </w:p>
    <w:p w:rsidR="00900450" w:rsidRPr="00CE2ACD" w:rsidRDefault="00900450" w:rsidP="00900450">
      <w:pPr>
        <w:shd w:val="clear" w:color="auto" w:fill="FFFFFF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În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conformitate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cu </w:t>
      </w:r>
      <w:proofErr w:type="spellStart"/>
      <w:proofErr w:type="gram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ordinul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nr</w:t>
      </w:r>
      <w:proofErr w:type="spellEnd"/>
      <w:proofErr w:type="gram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. 58 din </w:t>
      </w:r>
      <w:proofErr w:type="gram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06.02.2025 ,,Cu</w:t>
      </w:r>
      <w:proofErr w:type="gram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privire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la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aplicarea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unor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măsuri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suplimentare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control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și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prevenire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a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difuzării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focarelor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pestă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porcină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africană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,,</w:t>
      </w:r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și</w:t>
      </w:r>
      <w:proofErr w:type="spellEnd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a </w:t>
      </w:r>
      <w:proofErr w:type="spellStart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dispoziției</w:t>
      </w:r>
      <w:proofErr w:type="spellEnd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CSE </w:t>
      </w:r>
      <w:proofErr w:type="spellStart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Criuleni</w:t>
      </w:r>
      <w:proofErr w:type="spellEnd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 </w:t>
      </w:r>
      <w:proofErr w:type="spellStart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nr</w:t>
      </w:r>
      <w:proofErr w:type="spellEnd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. 3 din 01.02.2025</w:t>
      </w:r>
    </w:p>
    <w:p w:rsidR="00900450" w:rsidRPr="00CE2ACD" w:rsidRDefault="00900450" w:rsidP="00900450">
      <w:pPr>
        <w:shd w:val="clear" w:color="auto" w:fill="FFFFFF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-Se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suspendă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mișcarea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porcilor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din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exploatațiile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nonprofesionale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către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abatoare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puncte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</w:t>
      </w:r>
      <w:proofErr w:type="spellStart"/>
      <w:proofErr w:type="gram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sacrificare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,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tărguri</w:t>
      </w:r>
      <w:proofErr w:type="spellEnd"/>
      <w:proofErr w:type="gram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animale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,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precum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și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plasarea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piață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a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produselor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și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subproduselor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provenite</w:t>
      </w:r>
      <w:proofErr w:type="spellEnd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la </w:t>
      </w:r>
      <w:proofErr w:type="spellStart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acestea</w:t>
      </w:r>
      <w:proofErr w:type="spellEnd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pe</w:t>
      </w:r>
      <w:proofErr w:type="spellEnd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tot </w:t>
      </w:r>
      <w:proofErr w:type="spellStart"/>
      <w:r w:rsidR="00CE2ACD"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teritoriu</w:t>
      </w:r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l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R.M.</w:t>
      </w:r>
    </w:p>
    <w:p w:rsidR="00900450" w:rsidRPr="00900450" w:rsidRDefault="00900450" w:rsidP="00900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-Se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interzice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comerțul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stradal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ilicit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,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deoarece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produsele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comercializate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în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aceste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spații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adesea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au o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proveniență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dubioasă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și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pot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pune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în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pericol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sănătatea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consumatorilor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,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precum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și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declanșarea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focarelor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boli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.</w:t>
      </w:r>
    </w:p>
    <w:p w:rsidR="00900450" w:rsidRPr="00CE2ACD" w:rsidRDefault="00900450" w:rsidP="00900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r w:rsidRPr="00CE2ACD">
        <w:rPr>
          <w:rFonts w:ascii="Times New Roman" w:eastAsia="Times New Roman" w:hAnsi="Times New Roman" w:cs="Times New Roman"/>
          <w:noProof/>
          <w:color w:val="080809"/>
          <w:sz w:val="32"/>
          <w:szCs w:val="32"/>
        </w:rPr>
        <w:t>-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Solicităm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cetățenilor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să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nu procure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produse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alimentare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din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locuri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neautorizate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,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în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special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produse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alimentare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din carne de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porc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din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țările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vecine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,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în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scopul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aducerii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acestora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în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Republica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Moldova -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vor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fi confiscate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și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distruse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din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motivul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riscului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care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îl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reprezintă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.</w:t>
      </w:r>
    </w:p>
    <w:p w:rsidR="00900450" w:rsidRPr="00900450" w:rsidRDefault="00900450" w:rsidP="00900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</w:p>
    <w:p w:rsidR="00900450" w:rsidRPr="00900450" w:rsidRDefault="00CE2ACD" w:rsidP="00900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r w:rsidRPr="00CE2ACD">
        <w:rPr>
          <w:rFonts w:ascii="Times New Roman" w:eastAsia="Times New Roman" w:hAnsi="Times New Roman" w:cs="Times New Roman"/>
          <w:noProof/>
          <w:color w:val="080809"/>
          <w:sz w:val="32"/>
          <w:szCs w:val="32"/>
        </w:rPr>
        <w:t>-</w:t>
      </w:r>
      <w:proofErr w:type="spellStart"/>
      <w:r w:rsidRPr="00CE2ACD">
        <w:rPr>
          <w:rFonts w:ascii="Times New Roman" w:eastAsia="Times New Roman" w:hAnsi="Times New Roman" w:cs="Times New Roman"/>
          <w:noProof/>
          <w:color w:val="080809"/>
          <w:sz w:val="32"/>
          <w:szCs w:val="32"/>
        </w:rPr>
        <w:t>I</w:t>
      </w:r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dentificarea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și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înregistrarea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animalelor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din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exploatații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neprofesionale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 la ANSA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este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gratuită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și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se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solicită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proprietarilor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porcine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să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informeze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urgent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subdiviziunile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sale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teritoriale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,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medicii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veterinari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sau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autoritățile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publice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locale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în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cazul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îmbolnăvirii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și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pieirii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animalelor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sau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a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depistării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cadavrelor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mistreți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.</w:t>
      </w:r>
    </w:p>
    <w:p w:rsidR="00900450" w:rsidRPr="00900450" w:rsidRDefault="00CE2ACD" w:rsidP="00900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-Se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solicită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proprietarilor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porci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să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nu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utilizeze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în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hrana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acestora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cereale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proaspăt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recoltate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sau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resturi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culinare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și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să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respecte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cu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strictețe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cerințele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minime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</w:t>
      </w:r>
      <w:proofErr w:type="spellStart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biosecuritate</w:t>
      </w:r>
      <w:proofErr w:type="spellEnd"/>
      <w:r w:rsidR="00900450"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.</w:t>
      </w:r>
    </w:p>
    <w:p w:rsidR="00900450" w:rsidRPr="00900450" w:rsidRDefault="00900450" w:rsidP="00900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r w:rsidRPr="00CE2ACD">
        <w:rPr>
          <w:rFonts w:ascii="Times New Roman" w:eastAsia="Times New Roman" w:hAnsi="Times New Roman" w:cs="Times New Roman"/>
          <w:noProof/>
          <w:color w:val="080809"/>
          <w:sz w:val="32"/>
          <w:szCs w:val="32"/>
        </w:rPr>
        <w:drawing>
          <wp:inline distT="0" distB="0" distL="0" distR="0">
            <wp:extent cx="152400" cy="152400"/>
            <wp:effectExtent l="0" t="0" r="0" b="0"/>
            <wp:docPr id="5" name="Рисунок 5" descr="❗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0045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t>Reamintim</w:t>
      </w:r>
      <w:proofErr w:type="spellEnd"/>
      <w:r w:rsidRPr="0090045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t>că</w:t>
      </w:r>
      <w:proofErr w:type="spellEnd"/>
      <w:r w:rsidRPr="00900450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u w:val="single"/>
        </w:rPr>
        <w:t>,</w:t>
      </w:r>
      <w:r w:rsidRPr="00900450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pentru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animalele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afectate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boli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(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Pesta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porcină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africană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,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Gripa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aviară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,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Rabie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etc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),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proprietarii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exploatații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neprofesionale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și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ferme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comerciale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primesc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despăgubiri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din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partea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statului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.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Prin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urmare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,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îi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încurajăm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să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notifice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cazurile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</w:t>
      </w:r>
      <w:proofErr w:type="spellStart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îmbolnăviri</w:t>
      </w:r>
      <w:proofErr w:type="spellEnd"/>
      <w:r w:rsidRPr="00900450">
        <w:rPr>
          <w:rFonts w:ascii="Times New Roman" w:eastAsia="Times New Roman" w:hAnsi="Times New Roman" w:cs="Times New Roman"/>
          <w:color w:val="080809"/>
          <w:sz w:val="32"/>
          <w:szCs w:val="32"/>
        </w:rPr>
        <w:t>.</w:t>
      </w:r>
    </w:p>
    <w:p w:rsidR="00900450" w:rsidRPr="00900450" w:rsidRDefault="00900450" w:rsidP="00900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</w:p>
    <w:p w:rsidR="00900450" w:rsidRPr="00CE2ACD" w:rsidRDefault="00900450" w:rsidP="00CE2AC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r w:rsidRPr="00CE2ACD">
        <w:rPr>
          <w:rFonts w:ascii="Times New Roman" w:eastAsia="Times New Roman" w:hAnsi="Times New Roman" w:cs="Times New Roman"/>
          <w:b/>
          <w:color w:val="080809"/>
          <w:sz w:val="32"/>
          <w:szCs w:val="32"/>
        </w:rPr>
        <w:lastRenderedPageBreak/>
        <w:t>ATENȚIE!</w:t>
      </w:r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Persoanele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care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practică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activități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ilicite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, de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creștere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sau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sacrificare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animale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,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să-și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legalizeze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activitatea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. In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continuare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vor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fi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aplicate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mai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multe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pârghii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identificare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a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acestora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și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de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sancționare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conform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prevederilor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 xml:space="preserve"> </w:t>
      </w:r>
      <w:proofErr w:type="spellStart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legale</w:t>
      </w:r>
      <w:proofErr w:type="spellEnd"/>
      <w:r w:rsidRPr="00CE2ACD">
        <w:rPr>
          <w:rFonts w:ascii="Times New Roman" w:eastAsia="Times New Roman" w:hAnsi="Times New Roman" w:cs="Times New Roman"/>
          <w:color w:val="080809"/>
          <w:sz w:val="32"/>
          <w:szCs w:val="32"/>
        </w:rPr>
        <w:t>.</w:t>
      </w:r>
    </w:p>
    <w:p w:rsidR="00CE2ACD" w:rsidRDefault="00CE2ACD" w:rsidP="00900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</w:p>
    <w:p w:rsidR="00CE2ACD" w:rsidRPr="00900450" w:rsidRDefault="00CE2ACD" w:rsidP="009004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sz w:val="32"/>
          <w:szCs w:val="32"/>
        </w:rPr>
      </w:pPr>
      <w:bookmarkStart w:id="0" w:name="_GoBack"/>
      <w:bookmarkEnd w:id="0"/>
    </w:p>
    <w:p w:rsidR="00900450" w:rsidRPr="00900450" w:rsidRDefault="00900450" w:rsidP="009004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00450">
        <w:rPr>
          <w:rFonts w:ascii="Arial" w:eastAsia="Times New Roman" w:hAnsi="Arial" w:cs="Arial"/>
          <w:noProof/>
          <w:color w:val="1C469B"/>
          <w:sz w:val="24"/>
          <w:szCs w:val="24"/>
        </w:rPr>
        <w:drawing>
          <wp:inline distT="0" distB="0" distL="0" distR="0">
            <wp:extent cx="4953000" cy="3048000"/>
            <wp:effectExtent l="0" t="0" r="0" b="0"/>
            <wp:docPr id="3" name="Рисунок 3" descr="https://www.ansa.gov.md/sites/default/files/styles/news_prew/public/2025-02/475489321_920785796896791_1444887104123286574_n.jpg?itok=Xn68LjG-">
              <a:hlinkClick xmlns:a="http://schemas.openxmlformats.org/drawingml/2006/main" r:id="rId6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ansa.gov.md/sites/default/files/styles/news_prew/public/2025-02/475489321_920785796896791_1444887104123286574_n.jpg?itok=Xn68LjG-">
                      <a:hlinkClick r:id="rId6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50" w:rsidRPr="00900450" w:rsidRDefault="00900450" w:rsidP="009004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00450">
        <w:rPr>
          <w:rFonts w:ascii="Arial" w:eastAsia="Times New Roman" w:hAnsi="Arial" w:cs="Arial"/>
          <w:noProof/>
          <w:color w:val="1C469B"/>
          <w:sz w:val="24"/>
          <w:szCs w:val="24"/>
        </w:rPr>
        <w:drawing>
          <wp:inline distT="0" distB="0" distL="0" distR="0">
            <wp:extent cx="4953000" cy="3048000"/>
            <wp:effectExtent l="0" t="0" r="0" b="0"/>
            <wp:docPr id="2" name="Рисунок 2" descr="https://www.ansa.gov.md/sites/default/files/styles/news_prew/public/2025-02/475465814_920785756896795_8471354890866822932_n.jpg?itok=BF9Zexxn">
              <a:hlinkClick xmlns:a="http://schemas.openxmlformats.org/drawingml/2006/main" r:id="rId8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ansa.gov.md/sites/default/files/styles/news_prew/public/2025-02/475465814_920785756896795_8471354890866822932_n.jpg?itok=BF9Zexxn">
                      <a:hlinkClick r:id="rId8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50" w:rsidRPr="00900450" w:rsidRDefault="00900450" w:rsidP="009004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900450">
        <w:rPr>
          <w:rFonts w:ascii="Arial" w:eastAsia="Times New Roman" w:hAnsi="Arial" w:cs="Arial"/>
          <w:noProof/>
          <w:color w:val="1C469B"/>
          <w:sz w:val="24"/>
          <w:szCs w:val="24"/>
        </w:rPr>
        <w:lastRenderedPageBreak/>
        <w:drawing>
          <wp:inline distT="0" distB="0" distL="0" distR="0">
            <wp:extent cx="6209825" cy="5421630"/>
            <wp:effectExtent l="0" t="0" r="635" b="7620"/>
            <wp:docPr id="1" name="Рисунок 1" descr="https://www.ansa.gov.md/sites/default/files/styles/news_prew/public/2025-02/474781716_920785726896798_8182824676991653979_n.jpg?itok=Mg777itS">
              <a:hlinkClick xmlns:a="http://schemas.openxmlformats.org/drawingml/2006/main" r:id="rId10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ansa.gov.md/sites/default/files/styles/news_prew/public/2025-02/474781716_920785726896798_8182824676991653979_n.jpg?itok=Mg777itS">
                      <a:hlinkClick r:id="rId10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073" cy="5486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450" w:rsidRPr="00900450" w:rsidRDefault="00900450">
      <w:pPr>
        <w:rPr>
          <w:lang w:val="ro-MD"/>
        </w:rPr>
      </w:pPr>
    </w:p>
    <w:sectPr w:rsidR="00900450" w:rsidRPr="00900450" w:rsidSect="00900450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❗️" style="width:12pt;height:12pt;visibility:visible;mso-wrap-style:square" o:bullet="t">
        <v:imagedata r:id="rId1" o:title="❗️"/>
      </v:shape>
    </w:pict>
  </w:numPicBullet>
  <w:abstractNum w:abstractNumId="0" w15:restartNumberingAfterBreak="0">
    <w:nsid w:val="2EFE15BD"/>
    <w:multiLevelType w:val="hybridMultilevel"/>
    <w:tmpl w:val="4132835A"/>
    <w:lvl w:ilvl="0" w:tplc="98B28C7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BA33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EA4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1C61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AC92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9A0F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546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20C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8E0E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FA"/>
    <w:rsid w:val="003F0761"/>
    <w:rsid w:val="00741FFA"/>
    <w:rsid w:val="00900450"/>
    <w:rsid w:val="00CE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7C5D"/>
  <w15:chartTrackingRefBased/>
  <w15:docId w15:val="{64A4D830-D0AE-4DF8-A6B6-7CA0A2F7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A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2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E2A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9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86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0628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67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987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63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45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3039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273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625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4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7397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7975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48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59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7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4435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13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69584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sa.gov.md/sites/default/files/2025-02/475465814_920785756896795_8471354890866822932_n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sa.gov.md/sites/default/files/2025-02/475489321_920785796896791_1444887104123286574_n.jpg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0" Type="http://schemas.openxmlformats.org/officeDocument/2006/relationships/hyperlink" Target="https://www.ansa.gov.md/sites/default/files/2025-02/474781716_920785726896798_8182824676991653979_n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2025-02-11T06:56:00Z</cp:lastPrinted>
  <dcterms:created xsi:type="dcterms:W3CDTF">2025-02-11T06:58:00Z</dcterms:created>
  <dcterms:modified xsi:type="dcterms:W3CDTF">2025-02-11T06:58:00Z</dcterms:modified>
</cp:coreProperties>
</file>