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61CA6" w14:textId="371DABF7" w:rsidR="00F43D50" w:rsidRPr="005B5206" w:rsidRDefault="00C15BBA" w:rsidP="00B64B3E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  <w14:ligatures w14:val="standardContextual"/>
        </w:rPr>
        <w:drawing>
          <wp:inline distT="0" distB="0" distL="0" distR="0" wp14:anchorId="506D1DE3" wp14:editId="01E130E6">
            <wp:extent cx="5934075" cy="2190750"/>
            <wp:effectExtent l="0" t="0" r="9525" b="0"/>
            <wp:docPr id="19172333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316BA" w14:textId="77777777" w:rsidR="0085115E" w:rsidRPr="005B5206" w:rsidRDefault="0085115E" w:rsidP="0085115E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0C6AE367" w14:textId="6DE5A6DE" w:rsidR="00144F55" w:rsidRPr="005B5206" w:rsidRDefault="00144F55" w:rsidP="00144F55">
      <w:pPr>
        <w:spacing w:before="12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</w:pPr>
      <w:r w:rsidRPr="005B5206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Anunț privind </w:t>
      </w:r>
      <w:r w:rsidR="00F43D5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>desfășurarea</w:t>
      </w:r>
      <w:r w:rsidRPr="005B5206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5B5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Recensământul</w:t>
      </w:r>
      <w:r w:rsidR="00F43D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ui</w:t>
      </w:r>
      <w:r w:rsidRPr="005B5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populației și locuințelor </w:t>
      </w:r>
      <w:r w:rsidR="00F43D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br/>
        <w:t>în perioada</w:t>
      </w:r>
      <w:r w:rsidRPr="005B52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8 aprilie-7 iulie 2024</w:t>
      </w:r>
    </w:p>
    <w:p w14:paraId="081CA515" w14:textId="77777777" w:rsidR="00F43D50" w:rsidRDefault="00F43D50" w:rsidP="00144F55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89AD695" w14:textId="1E3F93FA" w:rsidR="00144F55" w:rsidRPr="00F60720" w:rsidRDefault="00144F55" w:rsidP="00144F55">
      <w:pPr>
        <w:spacing w:before="1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F6072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Stimați locuitori,</w:t>
      </w:r>
    </w:p>
    <w:p w14:paraId="4906C6AA" w14:textId="5176E7BE" w:rsidR="0085115E" w:rsidRPr="00C6258F" w:rsidRDefault="0085115E" w:rsidP="00F43D50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perioada </w:t>
      </w:r>
      <w:r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8 aprilie-7 iulie 2024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 întreg teritoriul Republic</w:t>
      </w:r>
      <w:r w:rsidR="00691A75"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 Moldova se va desf</w:t>
      </w:r>
      <w:r w:rsidR="00691A75"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ăș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ura </w:t>
      </w:r>
      <w:r w:rsidRPr="00F60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Recens</w:t>
      </w:r>
      <w:r w:rsidR="00691A75" w:rsidRPr="00F60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ă</w:t>
      </w:r>
      <w:r w:rsidRPr="00F60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m</w:t>
      </w:r>
      <w:r w:rsidR="00691A75" w:rsidRPr="00F60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â</w:t>
      </w:r>
      <w:r w:rsidRPr="00F60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ntul </w:t>
      </w:r>
      <w:r w:rsidR="00691A75" w:rsidRPr="00F60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</w:t>
      </w:r>
      <w:r w:rsidRPr="00F607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opulației și locuințelor</w:t>
      </w:r>
      <w:r w:rsidR="005B5206"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(RPL)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="00F60720" w:rsidRPr="00F60720">
        <w:rPr>
          <w:lang w:val="it-IT"/>
        </w:rPr>
        <w:t xml:space="preserve"> </w:t>
      </w:r>
      <w:r w:rsidR="00F60720" w:rsidRPr="00F6072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Recensământul este o cercetare la nivel național care are loc o dată la 10 ani. Scopul recensământului este obținerea de date statistice privind numărul și distribuția teritorială a populației și locuințelor țării.</w:t>
      </w:r>
      <w:r w:rsidR="00F6072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C6258F" w:rsidRP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În cadrul recensământului, sunt colectate date cu privire la </w:t>
      </w:r>
      <w:r w:rsidR="00C6258F"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fiecare persoană</w:t>
      </w:r>
      <w:r w:rsidR="00C6258F" w:rsidRP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din gospodărie (de exemplu: anul și locul nașterii, locul de trai, limba vorbită, nivelul educației, ocupația ș.a.), cât și date despre </w:t>
      </w:r>
      <w:r w:rsidR="00C6258F"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locuință</w:t>
      </w:r>
      <w:r w:rsidR="00C6258F" w:rsidRP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(cum ar fi dotarea cu sistem de canalizare și aprovizionare cu apă, modul de încălzire, suprafața și materialele de construcție a locuinței ș.a.).</w:t>
      </w:r>
    </w:p>
    <w:p w14:paraId="190404EA" w14:textId="0301AE6F" w:rsidR="00144F55" w:rsidRDefault="009609D7" w:rsidP="00144F55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În</w:t>
      </w:r>
      <w:r w:rsidR="00F60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această perioadă</w:t>
      </w:r>
      <w:r w:rsidR="00F43D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 un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 recenzor v</w:t>
      </w:r>
      <w:r w:rsidR="00F43D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144F55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vizita locuinț</w:t>
      </w:r>
      <w:r w:rsidR="00F43D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</w:t>
      </w:r>
      <w:r w:rsidR="00144F55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dumneavoastră și </w:t>
      </w:r>
      <w:r w:rsidR="00C6258F" w:rsidRPr="00F60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va adresa câteva întrebări, iar răspunsurile le va înregistra pe tabletă.</w:t>
      </w:r>
      <w:r w:rsid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5B5206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Recenzo</w:t>
      </w:r>
      <w:r w:rsid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rul</w:t>
      </w:r>
      <w:r w:rsidR="005B5206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C6258F" w:rsidRPr="00F60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va prezenta obligatoriu legitimația de recenzor</w:t>
      </w:r>
      <w:r w:rsidR="00C6258F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și </w:t>
      </w:r>
      <w:r w:rsidR="005B5206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vor purta însemne de identitate a RPL, inclusiv:</w:t>
      </w:r>
      <w:r w:rsidR="00F60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F43D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vest</w:t>
      </w:r>
      <w:r w:rsidR="00F60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="00F43D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r w:rsidR="005B5206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chipiu</w:t>
      </w:r>
      <w:r w:rsid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="005B5206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tricou, </w:t>
      </w:r>
      <w:r w:rsidR="00F60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rucsac</w:t>
      </w:r>
      <w:r w:rsid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="005B5206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tablet</w:t>
      </w:r>
      <w:r w:rsid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ă, toate c</w:t>
      </w:r>
      <w:r w:rsidR="005B5206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 logoul Recensământului 2024.</w:t>
      </w:r>
    </w:p>
    <w:p w14:paraId="5024B14E" w14:textId="38E0B54D" w:rsidR="00C6258F" w:rsidRPr="005B5206" w:rsidRDefault="00C6258F" w:rsidP="00C6258F">
      <w:pPr>
        <w:spacing w:before="1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>
        <w:rPr>
          <w:noProof/>
        </w:rPr>
        <w:drawing>
          <wp:inline distT="0" distB="0" distL="0" distR="0" wp14:anchorId="5405CE06" wp14:editId="7016E366">
            <wp:extent cx="2066925" cy="641909"/>
            <wp:effectExtent l="0" t="0" r="0" b="6350"/>
            <wp:docPr id="1161423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126" cy="64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CFFDD" w14:textId="77777777" w:rsidR="00C6258F" w:rsidRDefault="00C6258F" w:rsidP="00F60720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D759164" w14:textId="77777777" w:rsidR="00C6258F" w:rsidRDefault="00F60720" w:rsidP="00F60720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6072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Fiecare dintre noi trebuie să participe la recensământ și să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F6072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completeze în întregime și corect chestionarul de recenzare. Conform Legii nr. 231/2022 privind recensământul populației și locuințelor, participarea la recensământ este </w:t>
      </w:r>
      <w:r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obligatorie</w:t>
      </w:r>
      <w:r w:rsid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.</w:t>
      </w:r>
      <w:r w:rsidRPr="00F6072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1768B128" w14:textId="6C106EBF" w:rsidR="00C6258F" w:rsidRPr="00C6258F" w:rsidRDefault="00144F55" w:rsidP="00F60720">
      <w:pPr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Îndemnăm toți locuitorii să deschidă ușa recenzorului</w:t>
      </w:r>
      <w:r w:rsidRPr="00C6258F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și</w:t>
      </w:r>
      <w:r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să ofere r</w:t>
      </w:r>
      <w:r w:rsidRPr="00C6258F">
        <w:rPr>
          <w:rFonts w:ascii="Times New Roman" w:hAnsi="Times New Roman" w:cs="Times New Roman"/>
          <w:b/>
          <w:bCs/>
          <w:color w:val="000000" w:themeColor="text1"/>
          <w:lang w:val="ro-RO"/>
        </w:rPr>
        <w:t>ă</w:t>
      </w:r>
      <w:r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spun</w:t>
      </w:r>
      <w:r w:rsidRPr="00C6258F">
        <w:rPr>
          <w:rFonts w:ascii="Times New Roman" w:hAnsi="Times New Roman" w:cs="Times New Roman"/>
          <w:b/>
          <w:bCs/>
          <w:color w:val="000000" w:themeColor="text1"/>
          <w:lang w:val="ro-RO"/>
        </w:rPr>
        <w:t>s</w:t>
      </w:r>
      <w:r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uri corecte și depline</w:t>
      </w:r>
      <w:r w:rsidR="005B5206"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!</w:t>
      </w:r>
      <w:r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</w:p>
    <w:p w14:paraId="47A32D97" w14:textId="649085C5" w:rsidR="00144F55" w:rsidRPr="005B5206" w:rsidRDefault="00144F55" w:rsidP="00F60720">
      <w:pPr>
        <w:spacing w:before="120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</w:pPr>
      <w:r w:rsidRPr="005B5206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  <w:t xml:space="preserve">Datele pe care le veți oferi la Recensământ sunt </w:t>
      </w:r>
      <w:r w:rsidRPr="00C6258F">
        <w:rPr>
          <w:rFonts w:ascii="Times New Roman" w:hAnsi="Times New Roman" w:cs="Times New Roman"/>
          <w:b/>
          <w:bCs/>
          <w:color w:val="1C1C1C"/>
          <w:sz w:val="24"/>
          <w:szCs w:val="24"/>
          <w:shd w:val="clear" w:color="auto" w:fill="FFFFFF"/>
          <w:lang w:val="ro-RO"/>
        </w:rPr>
        <w:t>confidențiale</w:t>
      </w:r>
      <w:r w:rsidRPr="005B5206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  <w:t xml:space="preserve"> și protejate conform </w:t>
      </w:r>
      <w:r w:rsidRPr="005B5206">
        <w:rPr>
          <w:rStyle w:val="Emphasis"/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  <w:t xml:space="preserve">Legii nr. 231/2022 privind recensământul populației și locuințelor </w:t>
      </w:r>
      <w:r w:rsidRPr="005B5206">
        <w:rPr>
          <w:rStyle w:val="Emphasis"/>
          <w:rFonts w:ascii="Times New Roman" w:hAnsi="Times New Roman" w:cs="Times New Roman"/>
          <w:i w:val="0"/>
          <w:iCs w:val="0"/>
          <w:color w:val="1C1C1C"/>
          <w:sz w:val="24"/>
          <w:szCs w:val="24"/>
          <w:shd w:val="clear" w:color="auto" w:fill="FFFFFF"/>
          <w:lang w:val="ro-RO"/>
        </w:rPr>
        <w:t>și</w:t>
      </w:r>
      <w:r w:rsidRPr="005B5206">
        <w:rPr>
          <w:rStyle w:val="Emphasis"/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  <w:t xml:space="preserve"> Legii nr. 93/2017 cu privire la statistica oficială. </w:t>
      </w:r>
      <w:r w:rsidRPr="005B5206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o-RO"/>
        </w:rPr>
        <w:t>Aceste date se vor utiliza doar în scopuri statistice pentru elaborarea și diseminarea sub formă generalizată a rezultatelor recensământului pe diverse caracteristici ale populației, fără a fi posibilă identificarea datelor personale.</w:t>
      </w:r>
    </w:p>
    <w:p w14:paraId="098CF862" w14:textId="4D2EC307" w:rsidR="009609D7" w:rsidRDefault="00144F55" w:rsidP="00144F55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Participarea la Recensământ este o obligație legală</w:t>
      </w:r>
      <w:r w:rsidR="00C6258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dar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</w:t>
      </w:r>
      <w:r w:rsidRPr="00C625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civică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9609D7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C6258F" w:rsidRPr="00F6072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Datele colectate vor sta la baza proiectelor de dezvoltare la nivel de localitate și de țară.</w:t>
      </w:r>
      <w:r w:rsidR="00C6258F" w:rsidRP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C6258F" w:rsidRP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Participând la recensământ, contribuim la o mai bună înțelegere a comunității și a necesităților acesteia. Răspunsurile vor fi utilizate pentru </w:t>
      </w:r>
      <w:r w:rsidR="00C6258F" w:rsidRP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lastRenderedPageBreak/>
        <w:t>a produce statistici care vor oferi o imagine a vieții în Republica Moldova și a modului în care aceasta se schimbă.</w:t>
      </w:r>
    </w:p>
    <w:p w14:paraId="2D279BE6" w14:textId="74301B09" w:rsidR="004C1097" w:rsidRPr="005B5206" w:rsidRDefault="004C1097" w:rsidP="00144F55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Mai multe informații despre recensământ puteți consulta pe </w:t>
      </w:r>
      <w:r w:rsidRPr="004C10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o-RO"/>
        </w:rPr>
        <w:t>pagina BNS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hyperlink r:id="rId6" w:history="1">
        <w:r w:rsidRPr="0044441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www.statistica.gov.md/RPL20</w:t>
        </w:r>
        <w:r w:rsidRPr="0044441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2</w:t>
        </w:r>
        <w:r w:rsidRPr="0044441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4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. De asemenea, pentru orice întrebări puteți apela gratuit la Linia verde a recensământului 022 800 800 24. </w:t>
      </w:r>
    </w:p>
    <w:p w14:paraId="3A541AD8" w14:textId="71B60CD3" w:rsidR="009609D7" w:rsidRPr="005B5206" w:rsidRDefault="009609D7" w:rsidP="00144F55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În organizarea </w:t>
      </w:r>
      <w:r w:rsidR="00691A75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ș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 desf</w:t>
      </w:r>
      <w:r w:rsidR="00691A75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ășu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rarea Recens</w:t>
      </w:r>
      <w:r w:rsidR="00691A75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m</w:t>
      </w:r>
      <w:r w:rsidR="00691A75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â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ntului</w:t>
      </w:r>
      <w:r w:rsidR="00691A75"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populației și locuințelor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C625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2024,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BNS beneficiază de asistență în cadrul proiectului </w:t>
      </w:r>
      <w:r w:rsidRPr="005B5206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„Sprijin pentru Biroul Național de Statistică în desfășurarea Recensământului populației și locuințelor din 2024”,</w:t>
      </w:r>
      <w:r w:rsidRPr="005B52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 finanțat de Uniunea Europeană și cofinanțat de către Fondul Națiunilor Unite pentru Populație (UNFPA). </w:t>
      </w:r>
    </w:p>
    <w:p w14:paraId="375E9837" w14:textId="77777777" w:rsidR="00C6034A" w:rsidRPr="005B5206" w:rsidRDefault="00C6034A" w:rsidP="00144F55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47B4DFE1" w14:textId="77777777" w:rsidR="00C6034A" w:rsidRPr="005B5206" w:rsidRDefault="00C6034A" w:rsidP="00144F55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3DB97649" w14:textId="77777777" w:rsidR="00473FDD" w:rsidRPr="005B5206" w:rsidRDefault="00473FDD" w:rsidP="00144F55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66B32BE3" w14:textId="77777777" w:rsidR="00473FDD" w:rsidRPr="005B5206" w:rsidRDefault="00473FDD" w:rsidP="00144F55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0F760A22" w14:textId="77777777" w:rsidR="009609D7" w:rsidRPr="005B5206" w:rsidRDefault="009609D7" w:rsidP="0085115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sectPr w:rsidR="009609D7" w:rsidRPr="005B5206" w:rsidSect="004E67D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74"/>
    <w:rsid w:val="00080F62"/>
    <w:rsid w:val="00082B74"/>
    <w:rsid w:val="000B78FA"/>
    <w:rsid w:val="000D7FE0"/>
    <w:rsid w:val="00144F55"/>
    <w:rsid w:val="00187B99"/>
    <w:rsid w:val="00212875"/>
    <w:rsid w:val="00300846"/>
    <w:rsid w:val="004522BA"/>
    <w:rsid w:val="00473FDD"/>
    <w:rsid w:val="004A4ABD"/>
    <w:rsid w:val="004C1097"/>
    <w:rsid w:val="004C113B"/>
    <w:rsid w:val="004E67D8"/>
    <w:rsid w:val="005B5206"/>
    <w:rsid w:val="005C24FF"/>
    <w:rsid w:val="00691A75"/>
    <w:rsid w:val="006B3822"/>
    <w:rsid w:val="006C0B77"/>
    <w:rsid w:val="006E2A6F"/>
    <w:rsid w:val="008242FF"/>
    <w:rsid w:val="0085115E"/>
    <w:rsid w:val="00870751"/>
    <w:rsid w:val="008924C2"/>
    <w:rsid w:val="008D1B8A"/>
    <w:rsid w:val="00922C48"/>
    <w:rsid w:val="009609D7"/>
    <w:rsid w:val="00A529F1"/>
    <w:rsid w:val="00B64B3E"/>
    <w:rsid w:val="00B915B7"/>
    <w:rsid w:val="00BD3A58"/>
    <w:rsid w:val="00C15BBA"/>
    <w:rsid w:val="00C42992"/>
    <w:rsid w:val="00C5462C"/>
    <w:rsid w:val="00C6034A"/>
    <w:rsid w:val="00C6258F"/>
    <w:rsid w:val="00CB6CE0"/>
    <w:rsid w:val="00DA6B91"/>
    <w:rsid w:val="00E4684A"/>
    <w:rsid w:val="00EA59DF"/>
    <w:rsid w:val="00EE4070"/>
    <w:rsid w:val="00F12C76"/>
    <w:rsid w:val="00F43D50"/>
    <w:rsid w:val="00F60720"/>
    <w:rsid w:val="00F64144"/>
    <w:rsid w:val="00F931A6"/>
    <w:rsid w:val="00FE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4D2E"/>
  <w15:chartTrackingRefBased/>
  <w15:docId w15:val="{80705B1C-AA19-4E79-A326-7004541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B3E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B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4B3E"/>
    <w:rPr>
      <w:b/>
      <w:bCs/>
    </w:rPr>
  </w:style>
  <w:style w:type="character" w:styleId="Emphasis">
    <w:name w:val="Emphasis"/>
    <w:basedOn w:val="DefaultParagraphFont"/>
    <w:uiPriority w:val="20"/>
    <w:qFormat/>
    <w:rsid w:val="008924C2"/>
    <w:rPr>
      <w:i/>
      <w:iCs/>
    </w:rPr>
  </w:style>
  <w:style w:type="character" w:customStyle="1" w:styleId="xexx8yu">
    <w:name w:val="xexx8yu"/>
    <w:basedOn w:val="DefaultParagraphFont"/>
    <w:rsid w:val="00473FDD"/>
  </w:style>
  <w:style w:type="paragraph" w:styleId="NormalWeb">
    <w:name w:val="Normal (Web)"/>
    <w:basedOn w:val="Normal"/>
    <w:uiPriority w:val="99"/>
    <w:unhideWhenUsed/>
    <w:rsid w:val="00144F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6B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6B9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7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FA"/>
    <w:rPr>
      <w:rFonts w:ascii="Calibri" w:hAnsi="Calibri" w:cs="Calibri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8FA"/>
    <w:rPr>
      <w:rFonts w:ascii="Calibri" w:hAnsi="Calibri" w:cs="Calibri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3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tistica.gov.md/RPL2024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442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Jalba</dc:creator>
  <cp:keywords/>
  <dc:description/>
  <cp:lastModifiedBy>Lilia Racu</cp:lastModifiedBy>
  <cp:revision>10</cp:revision>
  <dcterms:created xsi:type="dcterms:W3CDTF">2024-03-20T18:28:00Z</dcterms:created>
  <dcterms:modified xsi:type="dcterms:W3CDTF">2024-03-21T11:20:00Z</dcterms:modified>
</cp:coreProperties>
</file>